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52" w:rsidRDefault="002D6352" w:rsidP="00270CED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  <w:lang w:val="en-US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>30/04/2020</w:t>
      </w:r>
    </w:p>
    <w:p w:rsidR="00270CED" w:rsidRPr="00270CED" w:rsidRDefault="00270CED" w:rsidP="00270CE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70CED">
        <w:rPr>
          <w:b/>
          <w:bCs/>
          <w:i/>
          <w:iCs/>
          <w:color w:val="000000"/>
          <w:sz w:val="28"/>
          <w:szCs w:val="28"/>
        </w:rPr>
        <w:t>План-конспект урока по теме:</w:t>
      </w:r>
    </w:p>
    <w:p w:rsidR="00270CED" w:rsidRPr="00270CED" w:rsidRDefault="00270CED" w:rsidP="00270CED">
      <w:pPr>
        <w:shd w:val="clear" w:color="auto" w:fill="FCFCFC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0CED" w:rsidRPr="00270CED" w:rsidRDefault="00270CED" w:rsidP="00270CED">
      <w:pPr>
        <w:shd w:val="clear" w:color="auto" w:fill="FCFCFC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урока "Природно-ресурсный потенциал Ростовской области"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Ростовская область относится к степной зоне и имеет разнообразные естественные ресурсы.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из основных конкурентных преимуществ Ростовской области являются </w:t>
      </w:r>
      <w:r w:rsidRPr="00270C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земельные ресурсы и климатические условия</w:t>
      </w: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которые способствуют динамичному развитию агропромышленного комплекса. Благодаря южному положению (46-50° сев. широты) на территории области отмечается обилие солнечного света и тепла. Продолжительность солнечного сияния увеличивается с севера на юг от 2067 ч/год (г. Миллерово) до 2143 ч/год (Ростов-на-Дону). Продолжительность периода с температурой выше 10 °С колеблется по территории от 160 до 180 дней.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Истинным богатством области являются почвы. Основу пахотных земель области составляют черноземы и каштановые почвы. Черноземы составляют 65% территории области, это 4-5% черноземов России. Каштановые почвы характерны для более сухих восточных районов.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Топливные ресурсы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Разнообразие минеральных ресурсов, которыми богат донской  край, обусловлено особенностями геологического строения территории области. Важнейшими среди них являются топливные ресурсы. 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Почти вся центральная часть области является угленосной, запасы угля сосредоточены в 9 угленосных районах.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Пользуются известностью месторождения каменного угля Восточного Донбасса благодаря высоким качествам. Марочный состав углей разнообразен – от длиннопламенных до антрацитов, составляющих 86% разведанных запасов и являющихся лучшими в мире по калорийности.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Общее количество запасов угля на территории Ростовской области, учтенное до глубины 1500 м, составляет 13 523,9 млн. тонн.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В границах области открыты и учтены 21 месторождение углеводородного сырья: 16 газовых, 3 газоконденсатных, 1 нефтегазоконденсатное и 1 газонефтяное. Разведанные геологические запасы свободного газа составляют 31,183 млрд м3, а предварительно оценённые – 17,673 млрд м3. Эти же показатели для нефти равны, соответственно, 1,891 (извлекаемые – 0,783) и 1,679 (извлекаемые – 0,713) млн тонн, а для конденсата – 0,188 (извлекаемые – 0,162) и 0,001 (извлекаемые – 0,001) млн тонн. Перспективные ресурсы Ростовской области составляют 54,732 млн тонн нефти (извлекаемые) и 69,405 млрд м3 газа (геологические).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Рудные полезные ископаемые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Металлические полезные ископаемые в истории освоения недр Ростовской области изучались очень ограниченно. В результате в регионе отсутствуют промышленные месторождения металлов.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с тем многочисленные рудопроявления (золото, вольфрам, молибден, титан-циркониевые россыпи), наряду с  благоприятными геологическими условиями, позволяют судить о перспективах области в отношении металлов. Наибольший интерес территория области представляет в отношении выявления новых месторождений и доразведки выявленных перспективных участков  титановых руд россыпного типа.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Нерудные полезные ископаемые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К минеральному сырью регионального значения на территории области относятся тугоплавкие глины (Владимировское, Федоровское Западное, Киселевское и Гуковское месторождения), флюсовые известняки (Жирновское месторождение), формовочные пески  (Карпов-Ярское, Миллеровское, Сутурминское и Тарасовское  месторождения), стекольные пески (Песчаное месторождение, Дегтевский II, Миллеровский  участки).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области разведаны 2 месторождения цементного сырья: Рогаликское и Кульбакинское. Кроме того, имеется большой ресурсный </w:t>
      </w: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потенциал (22 млрд.т) цементного сырья высокого качества, представленный перспективными участками с благоприятными горно-геологическими условиями для открытой разработки и вблизи транспортных путей сообщения. В основном они сосредоточены в Миллеровском, Тарасовском, Тацинском, Неклиновском, Матвеево-Курганском  районах.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В последние годы открыт ряд месторождений и перспективных участков нетрадиционных видов минерального сырья (бентониты, глаукониты, кремнистые породы), используемых в качестве природных сорбентов, естественных мелиорантов, минеральных удобрений.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Ресурсы для строительной индустрии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Сырьем местного значения являются общераспространенные полезные ископаемые, которые составляют значительную долю минерально-сырьевой базы строительного комплекса Ростовской области. На территории области выявлено 1128 месторождений и участков общераспространенных полезных ископаемых (глины и суглинки, песчаник и известняк, песок, кварцит, мергель, мел, глинистые сланцы).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Область располагает богатым выбором месторождений строительных материалов: камней строительных для производства щебня, песков строительных, глин и суглинков для производства кирпича. Наиболее распространенным видом глинистого сырья в Ростовской области являются суглинки, которые распространены, как и глина, практически во всех районах Ростовской области.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Восточного Донбасса сосредоточено большое количество породных отвалов  шахт, образованных в результате промышленной разработки угля, которые представляют собой техногенные месторождения и новый источник минерального сырья для использования в строительных целях.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Водные ресурсы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Водные ресурсы области оцениваются в 27,7 куб. км годового стока, из которых только 2,7 куб. км  (10%) формируются в пределах области, а </w:t>
      </w: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остальные 25,0 (90%) поступают извне. В пределах Ростовской области протекает более 4500 рек, существует более 250 озер, 3 водохранилища и много прудов, а также Таганрогский залив Азовского моря.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По территории области протекает одна из крупнейших рек Европы  – Дон, которая соединяется каналом с Волгой и образует единую транспортную сеть Европейской части России. Судоходны и основные его притоки – реки Северский Донец и Маныч.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Рекреационный ресурс в регионе – месторождения минеральных вод и рассолов со специфическими компонентами (бром, йод, бор, сероводород) и без них. На территории области выявлено 23 типа минеральных вод. Район Ростовской зоны известен натриевыми и йодо-бромными водами. Окрестности Ростова и Семикаракорского района содержат сероводородные, железистые минеральные воды. На базе минеральных источников созданы и успешно функционируют разно-профильные санатории.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Лесное хозяйство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Общая площадь земель лесного фонда Ростовской области состав</w:t>
      </w: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ляет 360,6 тыс.га, в том числе - широко распространенные заповедники и заказники, бережно сохраняющие природу Дона.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Среди лесных насаждений пре</w:t>
      </w: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обладают дубовые (45%) и сосно</w:t>
      </w: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вые (21%). Леса области таят в се</w:t>
      </w: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бе пока недостаточно освоенный рекреационный потенциал.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В Рос</w:t>
      </w: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товской области в течение трех се</w:t>
      </w: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зонов (исключая лето) возможна </w:t>
      </w:r>
      <w:hyperlink r:id="rId5" w:tgtFrame="_blank" w:tooltip="Охота в Ростовской области" w:history="1">
        <w:r w:rsidRPr="00270CED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</w:rPr>
          <w:t>охота </w:t>
        </w:r>
      </w:hyperlink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на водоплавающую дичь, перепелов, куропаток, фазанов, копытных (оленя, косулю, кабана, лань, лося), а также на пушных зверей (зайца-русака, лисицу, ено</w:t>
      </w: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товидную собаку).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Возможности донской рыбалки во многом недоступны в ос</w:t>
      </w: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тальных регионах России, так как в открытых водоемах обитает бо</w:t>
      </w: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лее 90 видов рыб, таких как осет</w:t>
      </w: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ровые, сом, лещ, судак, тарань, рыбец, чехонь, толстолобик, са</w:t>
      </w: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зан, щука, окунь и знаменитая донская сельдь.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Особо охраняемые природные территории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Ростовской области расположены следующие особо охраняемые природные территории:</w:t>
      </w:r>
    </w:p>
    <w:p w:rsidR="00270CED" w:rsidRPr="00270CED" w:rsidRDefault="00270CED" w:rsidP="00270CED">
      <w:pPr>
        <w:numPr>
          <w:ilvl w:val="0"/>
          <w:numId w:val="1"/>
        </w:numPr>
        <w:shd w:val="clear" w:color="auto" w:fill="FFFFFF"/>
        <w:spacing w:after="0" w:line="360" w:lineRule="auto"/>
        <w:ind w:left="613"/>
        <w:rPr>
          <w:rFonts w:ascii="Times New Roman" w:eastAsia="Times New Roman" w:hAnsi="Times New Roman" w:cs="Times New Roman"/>
          <w:color w:val="5C5B5B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5C5B5B"/>
          <w:sz w:val="28"/>
          <w:szCs w:val="28"/>
        </w:rPr>
        <w:t>государственный природный биосферный заповедник «Ростовский» – 9,4648 тыс. га;</w:t>
      </w:r>
    </w:p>
    <w:p w:rsidR="00270CED" w:rsidRPr="00270CED" w:rsidRDefault="00270CED" w:rsidP="00270CED">
      <w:pPr>
        <w:numPr>
          <w:ilvl w:val="0"/>
          <w:numId w:val="1"/>
        </w:numPr>
        <w:shd w:val="clear" w:color="auto" w:fill="FFFFFF"/>
        <w:spacing w:after="0" w:line="360" w:lineRule="auto"/>
        <w:ind w:left="613"/>
        <w:rPr>
          <w:rFonts w:ascii="Times New Roman" w:eastAsia="Times New Roman" w:hAnsi="Times New Roman" w:cs="Times New Roman"/>
          <w:color w:val="5C5B5B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5C5B5B"/>
          <w:sz w:val="28"/>
          <w:szCs w:val="28"/>
        </w:rPr>
        <w:t>государственный природный заказник федерального значения «Цимлянский» - 44,998 тыс. га;</w:t>
      </w:r>
    </w:p>
    <w:p w:rsidR="00270CED" w:rsidRPr="00270CED" w:rsidRDefault="00270CED" w:rsidP="00270CED">
      <w:pPr>
        <w:numPr>
          <w:ilvl w:val="0"/>
          <w:numId w:val="1"/>
        </w:numPr>
        <w:shd w:val="clear" w:color="auto" w:fill="FFFFFF"/>
        <w:spacing w:after="0" w:line="360" w:lineRule="auto"/>
        <w:ind w:left="613"/>
        <w:rPr>
          <w:rFonts w:ascii="Times New Roman" w:eastAsia="Times New Roman" w:hAnsi="Times New Roman" w:cs="Times New Roman"/>
          <w:color w:val="5C5B5B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5C5B5B"/>
          <w:sz w:val="28"/>
          <w:szCs w:val="28"/>
        </w:rPr>
        <w:t>природный парк «Донской» областного значения – 40,95513 тыс. га;</w:t>
      </w:r>
    </w:p>
    <w:p w:rsidR="00270CED" w:rsidRPr="00270CED" w:rsidRDefault="00270CED" w:rsidP="00270CED">
      <w:pPr>
        <w:numPr>
          <w:ilvl w:val="0"/>
          <w:numId w:val="1"/>
        </w:numPr>
        <w:shd w:val="clear" w:color="auto" w:fill="FFFFFF"/>
        <w:spacing w:after="0" w:line="360" w:lineRule="auto"/>
        <w:ind w:left="613"/>
        <w:rPr>
          <w:rFonts w:ascii="Times New Roman" w:eastAsia="Times New Roman" w:hAnsi="Times New Roman" w:cs="Times New Roman"/>
          <w:color w:val="5C5B5B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5C5B5B"/>
          <w:sz w:val="28"/>
          <w:szCs w:val="28"/>
        </w:rPr>
        <w:t>70 памятников природы областного значения – 20,473113 тыс. га</w:t>
      </w:r>
    </w:p>
    <w:p w:rsidR="00270CED" w:rsidRPr="00270CED" w:rsidRDefault="00270CED" w:rsidP="00270CED">
      <w:pPr>
        <w:numPr>
          <w:ilvl w:val="0"/>
          <w:numId w:val="1"/>
        </w:numPr>
        <w:shd w:val="clear" w:color="auto" w:fill="FFFFFF"/>
        <w:spacing w:after="0" w:line="360" w:lineRule="auto"/>
        <w:ind w:left="613"/>
        <w:rPr>
          <w:rFonts w:ascii="Times New Roman" w:eastAsia="Times New Roman" w:hAnsi="Times New Roman" w:cs="Times New Roman"/>
          <w:color w:val="5C5B5B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5C5B5B"/>
          <w:sz w:val="28"/>
          <w:szCs w:val="28"/>
        </w:rPr>
        <w:t>7 особо охраняемых природных территорий местного значения – 106,65 тыс. га.</w:t>
      </w:r>
    </w:p>
    <w:p w:rsidR="00270CED" w:rsidRPr="00270CED" w:rsidRDefault="00270CED" w:rsidP="00270CED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организации и функционирования особо охраняемых природных территорий Ростовской области утвержден постановлением Правительства Ростовской области </w:t>
      </w:r>
      <w:hyperlink r:id="rId6" w:history="1">
        <w:r w:rsidRPr="00270CED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</w:rPr>
          <w:t>от 15.05.2014 № 350</w:t>
        </w:r>
      </w:hyperlink>
      <w:r w:rsidRPr="00270CE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70CED" w:rsidRPr="00270CED" w:rsidRDefault="00270CED" w:rsidP="00270CE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70CED">
        <w:rPr>
          <w:b/>
          <w:color w:val="000000"/>
          <w:sz w:val="28"/>
          <w:szCs w:val="28"/>
        </w:rPr>
        <w:t>Домашнее задание по астрономии</w:t>
      </w:r>
      <w:r w:rsidRPr="00270CED">
        <w:rPr>
          <w:color w:val="000000"/>
          <w:sz w:val="28"/>
          <w:szCs w:val="28"/>
        </w:rPr>
        <w:t xml:space="preserve">: </w:t>
      </w:r>
      <w:r w:rsidRPr="00270CED">
        <w:rPr>
          <w:bCs/>
          <w:color w:val="000000"/>
          <w:sz w:val="28"/>
          <w:szCs w:val="28"/>
        </w:rPr>
        <w:t>Перечислите природный потенциал своего региона</w:t>
      </w:r>
    </w:p>
    <w:p w:rsidR="00E35B25" w:rsidRDefault="00E35B25"/>
    <w:sectPr w:rsidR="00E35B25" w:rsidSect="0093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5132"/>
    <w:multiLevelType w:val="multilevel"/>
    <w:tmpl w:val="4060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270CED"/>
    <w:rsid w:val="00270CED"/>
    <w:rsid w:val="002D6352"/>
    <w:rsid w:val="00933B2E"/>
    <w:rsid w:val="00E3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CED"/>
    <w:rPr>
      <w:b/>
      <w:bCs/>
    </w:rPr>
  </w:style>
  <w:style w:type="character" w:styleId="a5">
    <w:name w:val="Hyperlink"/>
    <w:basedOn w:val="a0"/>
    <w:uiPriority w:val="99"/>
    <w:semiHidden/>
    <w:unhideWhenUsed/>
    <w:rsid w:val="00270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donland.ru/Default.aspx?pageid=127605" TargetMode="External"/><Relationship Id="rId5" Type="http://schemas.openxmlformats.org/officeDocument/2006/relationships/hyperlink" Target="http://old.donland.ru/O-regione/Priroda/Default.aspx?pageid=758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2020-03-25T18:44:00Z</dcterms:created>
  <dcterms:modified xsi:type="dcterms:W3CDTF">2020-04-20T15:15:00Z</dcterms:modified>
</cp:coreProperties>
</file>